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 w:rsidRPr="002726ED">
        <w:rPr>
          <w:rFonts w:hint="eastAsia"/>
          <w:b/>
          <w:bCs/>
          <w:dstrike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 w:rsidRPr="002726ED">
        <w:rPr>
          <w:rFonts w:hint="eastAsia"/>
          <w:b/>
          <w:bCs/>
          <w:dstrike/>
          <w:sz w:val="36"/>
        </w:rPr>
        <w:t>・</w:t>
      </w:r>
      <w:r w:rsidRPr="002726ED">
        <w:rPr>
          <w:rFonts w:hint="eastAsia"/>
          <w:b/>
          <w:bCs/>
          <w:dstrike/>
          <w:w w:val="50"/>
          <w:sz w:val="36"/>
        </w:rPr>
        <w:t xml:space="preserve">　</w:t>
      </w:r>
      <w:r w:rsidRPr="002726ED">
        <w:rPr>
          <w:rFonts w:hint="eastAsia"/>
          <w:b/>
          <w:bCs/>
          <w:dstrike/>
          <w:sz w:val="36"/>
        </w:rPr>
        <w:t>見　積</w:t>
      </w:r>
      <w:r w:rsidRPr="002726ED">
        <w:rPr>
          <w:rFonts w:hint="eastAsia"/>
          <w:b/>
          <w:bCs/>
          <w:dstrike/>
          <w:w w:val="50"/>
          <w:sz w:val="36"/>
        </w:rPr>
        <w:t xml:space="preserve">　</w:t>
      </w:r>
      <w:r w:rsidRPr="002726ED">
        <w:rPr>
          <w:rFonts w:hint="eastAsia"/>
          <w:b/>
          <w:bCs/>
          <w:dstrike/>
          <w:sz w:val="36"/>
        </w:rPr>
        <w:t>）</w:t>
      </w:r>
      <w:r>
        <w:rPr>
          <w:rFonts w:hint="eastAsia"/>
          <w:b/>
          <w:bCs/>
          <w:sz w:val="36"/>
        </w:rPr>
        <w:t>書</w:t>
      </w:r>
      <w:r w:rsidR="002726ED">
        <w:rPr>
          <w:rFonts w:hint="eastAsia"/>
          <w:sz w:val="36"/>
        </w:rPr>
        <w:t>（第１</w:t>
      </w:r>
      <w:r>
        <w:rPr>
          <w:rFonts w:hint="eastAsia"/>
          <w:sz w:val="36"/>
        </w:rPr>
        <w:t>回）</w:t>
      </w:r>
    </w:p>
    <w:p w:rsidR="00272A93" w:rsidRDefault="00272A93" w:rsidP="00272A93"/>
    <w:p w:rsidR="00272A93" w:rsidRDefault="00272A93" w:rsidP="00005C78">
      <w:pPr>
        <w:ind w:left="3275" w:hangingChars="1300" w:hanging="3275"/>
      </w:pPr>
      <w:r>
        <w:rPr>
          <w:rFonts w:hint="eastAsia"/>
        </w:rPr>
        <w:t>１　件　　　　　　名</w:t>
      </w:r>
      <w:r w:rsidR="00005C78">
        <w:rPr>
          <w:rFonts w:hint="eastAsia"/>
        </w:rPr>
        <w:t xml:space="preserve">　　　市立高等学校インターネット出願システム運用等委託業務</w:t>
      </w:r>
    </w:p>
    <w:p w:rsidR="00272A93" w:rsidRDefault="00272A93" w:rsidP="00272A93"/>
    <w:p w:rsidR="00272A93" w:rsidRDefault="00272A93" w:rsidP="00005C78">
      <w:pPr>
        <w:ind w:left="3275" w:hangingChars="1300" w:hanging="3275"/>
      </w:pPr>
      <w:r>
        <w:rPr>
          <w:rFonts w:hint="eastAsia"/>
        </w:rPr>
        <w:t xml:space="preserve">２　</w:t>
      </w:r>
      <w:r w:rsidRPr="00005C78">
        <w:rPr>
          <w:rFonts w:hint="eastAsia"/>
          <w:spacing w:val="176"/>
          <w:kern w:val="0"/>
          <w:fitText w:val="2016" w:id="1663715072"/>
        </w:rPr>
        <w:t>履行場</w:t>
      </w:r>
      <w:r w:rsidRPr="00005C78">
        <w:rPr>
          <w:rFonts w:hint="eastAsia"/>
          <w:kern w:val="0"/>
          <w:fitText w:val="2016" w:id="1663715072"/>
        </w:rPr>
        <w:t>所</w:t>
      </w:r>
      <w:r w:rsidR="00005C78">
        <w:rPr>
          <w:rFonts w:hint="eastAsia"/>
          <w:kern w:val="0"/>
        </w:rPr>
        <w:t xml:space="preserve">　　　さいたま市立浦和高等学校、さいたま市立浦和南高等学校、さいたま市立大宮北高等学校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272A93">
        <w:rPr>
          <w:rFonts w:hint="eastAsia"/>
          <w:spacing w:val="102"/>
          <w:kern w:val="0"/>
          <w:fitText w:val="2016" w:id="1663715074"/>
        </w:rPr>
        <w:t>入札保証</w:t>
      </w:r>
      <w:r w:rsidRPr="00272A93">
        <w:rPr>
          <w:rFonts w:hint="eastAsia"/>
          <w:kern w:val="0"/>
          <w:fitText w:val="2016" w:id="1663715074"/>
        </w:rPr>
        <w:t>金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</w:t>
      </w:r>
      <w:r w:rsidRPr="002726ED">
        <w:rPr>
          <w:rFonts w:hint="eastAsia"/>
          <w:dstrike/>
        </w:rPr>
        <w:t>（</w:t>
      </w:r>
      <w:r>
        <w:rPr>
          <w:rFonts w:hint="eastAsia"/>
        </w:rPr>
        <w:t xml:space="preserve">　入札</w:t>
      </w:r>
      <w:r w:rsidRPr="002726ED">
        <w:rPr>
          <w:rFonts w:hint="eastAsia"/>
          <w:dstrike/>
        </w:rPr>
        <w:t>・見積　）</w:t>
      </w:r>
      <w:r>
        <w:rPr>
          <w:rFonts w:hint="eastAsia"/>
        </w:rPr>
        <w:t>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>
      <w:pPr>
        <w:rPr>
          <w:rFonts w:hint="eastAsia"/>
        </w:rPr>
      </w:pPr>
      <w:bookmarkStart w:id="0" w:name="_GoBack"/>
      <w:bookmarkEnd w:id="0"/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005C78"/>
    <w:rsid w:val="00163D1C"/>
    <w:rsid w:val="002726ED"/>
    <w:rsid w:val="00272A93"/>
    <w:rsid w:val="00293FAA"/>
    <w:rsid w:val="00496976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36534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dcterms:created xsi:type="dcterms:W3CDTF">2025-07-18T01:25:00Z</dcterms:created>
  <dcterms:modified xsi:type="dcterms:W3CDTF">2025-07-18T01:36:00Z</dcterms:modified>
</cp:coreProperties>
</file>